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5239" w14:textId="3CCFF005" w:rsidR="007E4E4A" w:rsidRPr="001C2EF8" w:rsidRDefault="007E4E4A" w:rsidP="007E4E4A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1C2EF8">
        <w:rPr>
          <w:rFonts w:ascii="Arial" w:hAnsi="Arial" w:cs="Arial"/>
          <w:i/>
          <w:iCs/>
        </w:rPr>
        <w:t xml:space="preserve">(Format of Bank Guarantee </w:t>
      </w:r>
      <w:r>
        <w:rPr>
          <w:rFonts w:ascii="Arial" w:hAnsi="Arial" w:cs="Arial"/>
          <w:i/>
          <w:iCs/>
        </w:rPr>
        <w:t>100</w:t>
      </w:r>
      <w:r w:rsidRPr="001C2EF8">
        <w:rPr>
          <w:rFonts w:ascii="Arial" w:hAnsi="Arial" w:cs="Arial"/>
          <w:i/>
          <w:iCs/>
        </w:rPr>
        <w:t>%)</w:t>
      </w:r>
    </w:p>
    <w:p w14:paraId="13E3463A" w14:textId="77777777" w:rsidR="007E4E4A" w:rsidRPr="001C2EF8" w:rsidRDefault="007E4E4A" w:rsidP="007E4E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C2EF8">
        <w:rPr>
          <w:rFonts w:ascii="Arial" w:hAnsi="Arial" w:cs="Arial"/>
          <w:b/>
          <w:bCs/>
        </w:rPr>
        <w:t>LETTERHEAD BANK</w:t>
      </w:r>
    </w:p>
    <w:p w14:paraId="1109D9AB" w14:textId="77777777" w:rsidR="007E4E4A" w:rsidRDefault="007E4E4A" w:rsidP="007E4E4A">
      <w:pPr>
        <w:rPr>
          <w:rFonts w:ascii="Arial" w:hAnsi="Arial" w:cs="Arial"/>
        </w:rPr>
      </w:pPr>
    </w:p>
    <w:p w14:paraId="41F02A3F" w14:textId="77777777" w:rsidR="007E4E4A" w:rsidRPr="001C2EF8" w:rsidRDefault="007E4E4A" w:rsidP="007E4E4A">
      <w:pPr>
        <w:rPr>
          <w:rFonts w:ascii="Arial" w:hAnsi="Arial" w:cs="Arial"/>
        </w:rPr>
      </w:pPr>
      <w:r w:rsidRPr="001C2EF8">
        <w:rPr>
          <w:rFonts w:ascii="Arial" w:hAnsi="Arial" w:cs="Arial"/>
        </w:rPr>
        <w:t>Date:</w:t>
      </w:r>
    </w:p>
    <w:p w14:paraId="35918469" w14:textId="77777777" w:rsidR="007E4E4A" w:rsidRPr="001C2EF8" w:rsidRDefault="007E4E4A" w:rsidP="007E4E4A">
      <w:pPr>
        <w:spacing w:after="0" w:line="240" w:lineRule="auto"/>
        <w:rPr>
          <w:rFonts w:ascii="Arial" w:hAnsi="Arial" w:cs="Arial"/>
        </w:rPr>
      </w:pPr>
      <w:r w:rsidRPr="001C2EF8">
        <w:rPr>
          <w:rFonts w:ascii="Arial" w:hAnsi="Arial" w:cs="Arial"/>
        </w:rPr>
        <w:t>Controller of Housing</w:t>
      </w:r>
    </w:p>
    <w:p w14:paraId="2A917B99" w14:textId="4E835162" w:rsidR="007E4E4A" w:rsidRPr="001C2EF8" w:rsidRDefault="007E4E4A" w:rsidP="007E4E4A">
      <w:pPr>
        <w:spacing w:after="0" w:line="240" w:lineRule="auto"/>
        <w:rPr>
          <w:rFonts w:ascii="Arial" w:hAnsi="Arial" w:cs="Arial"/>
        </w:rPr>
      </w:pPr>
      <w:r w:rsidRPr="001C2EF8">
        <w:rPr>
          <w:rFonts w:ascii="Arial" w:hAnsi="Arial" w:cs="Arial"/>
        </w:rPr>
        <w:t xml:space="preserve">Ministry of </w:t>
      </w:r>
      <w:r w:rsidR="00992A0F">
        <w:rPr>
          <w:rFonts w:ascii="Arial" w:hAnsi="Arial" w:cs="Arial"/>
        </w:rPr>
        <w:t xml:space="preserve">Housing and </w:t>
      </w:r>
      <w:r w:rsidRPr="001C2EF8">
        <w:rPr>
          <w:rFonts w:ascii="Arial" w:hAnsi="Arial" w:cs="Arial"/>
        </w:rPr>
        <w:t>Local Government</w:t>
      </w:r>
      <w:r>
        <w:rPr>
          <w:rFonts w:ascii="Arial" w:hAnsi="Arial" w:cs="Arial"/>
        </w:rPr>
        <w:t xml:space="preserve"> </w:t>
      </w:r>
    </w:p>
    <w:p w14:paraId="2A3F730D" w14:textId="77777777" w:rsidR="007E4E4A" w:rsidRPr="001C2EF8" w:rsidRDefault="007E4E4A" w:rsidP="007E4E4A">
      <w:pPr>
        <w:spacing w:after="0" w:line="240" w:lineRule="auto"/>
        <w:rPr>
          <w:rFonts w:ascii="Arial" w:hAnsi="Arial" w:cs="Arial"/>
        </w:rPr>
      </w:pPr>
      <w:r w:rsidRPr="001C2EF8">
        <w:rPr>
          <w:rFonts w:ascii="Arial" w:hAnsi="Arial" w:cs="Arial"/>
        </w:rPr>
        <w:t>National Housing Department</w:t>
      </w:r>
    </w:p>
    <w:p w14:paraId="5F2D84B9" w14:textId="607AEB44" w:rsidR="007E4E4A" w:rsidRPr="001C2EF8" w:rsidRDefault="007E4E4A" w:rsidP="007E4E4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(Bahagian Pelesenan</w:t>
      </w:r>
      <w:r w:rsidR="00992A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Pemajuan Perumahan)</w:t>
      </w:r>
    </w:p>
    <w:p w14:paraId="7049A697" w14:textId="77777777" w:rsidR="007E4E4A" w:rsidRDefault="007E4E4A" w:rsidP="007E4E4A">
      <w:pPr>
        <w:spacing w:after="0" w:line="240" w:lineRule="auto"/>
        <w:rPr>
          <w:rFonts w:ascii="Arial" w:hAnsi="Arial" w:cs="Arial"/>
          <w:lang w:val="it-IT"/>
        </w:rPr>
      </w:pPr>
      <w:r w:rsidRPr="001C2EF8">
        <w:rPr>
          <w:rFonts w:ascii="Arial" w:hAnsi="Arial" w:cs="Arial"/>
          <w:lang w:val="it-IT"/>
        </w:rPr>
        <w:t xml:space="preserve">Level 31, No. 51, Persiaran Perdana, </w:t>
      </w:r>
    </w:p>
    <w:p w14:paraId="5488D296" w14:textId="77777777" w:rsidR="007E4E4A" w:rsidRPr="001C2EF8" w:rsidRDefault="007E4E4A" w:rsidP="007E4E4A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Presint</w:t>
      </w:r>
      <w:r w:rsidRPr="001C2EF8">
        <w:rPr>
          <w:rFonts w:ascii="Arial" w:hAnsi="Arial" w:cs="Arial"/>
          <w:lang w:val="it-IT"/>
        </w:rPr>
        <w:t xml:space="preserve"> 4</w:t>
      </w:r>
    </w:p>
    <w:p w14:paraId="20039558" w14:textId="77777777" w:rsidR="007E4E4A" w:rsidRPr="001C2EF8" w:rsidRDefault="007E4E4A" w:rsidP="007E4E4A">
      <w:pPr>
        <w:spacing w:after="0" w:line="240" w:lineRule="auto"/>
        <w:rPr>
          <w:rFonts w:ascii="Arial" w:hAnsi="Arial" w:cs="Arial"/>
          <w:b/>
          <w:bCs/>
        </w:rPr>
      </w:pPr>
      <w:r w:rsidRPr="001C2EF8">
        <w:rPr>
          <w:rFonts w:ascii="Arial" w:hAnsi="Arial" w:cs="Arial"/>
          <w:b/>
          <w:bCs/>
        </w:rPr>
        <w:t>62100 PUTRAJAYA</w:t>
      </w:r>
    </w:p>
    <w:p w14:paraId="44850412" w14:textId="77777777" w:rsidR="007E4E4A" w:rsidRDefault="007E4E4A" w:rsidP="007E4E4A">
      <w:pPr>
        <w:rPr>
          <w:rFonts w:ascii="Arial" w:hAnsi="Arial" w:cs="Arial"/>
        </w:rPr>
      </w:pPr>
    </w:p>
    <w:p w14:paraId="3DF9FBBC" w14:textId="77777777" w:rsidR="007E4E4A" w:rsidRPr="001C2EF8" w:rsidRDefault="007E4E4A" w:rsidP="007E4E4A">
      <w:pPr>
        <w:rPr>
          <w:rFonts w:ascii="Arial" w:hAnsi="Arial" w:cs="Arial"/>
        </w:rPr>
      </w:pPr>
      <w:r w:rsidRPr="001C2EF8">
        <w:rPr>
          <w:rFonts w:ascii="Arial" w:hAnsi="Arial" w:cs="Arial"/>
        </w:rPr>
        <w:t>Sir,</w:t>
      </w:r>
    </w:p>
    <w:p w14:paraId="3A3B22EE" w14:textId="77777777" w:rsidR="007E4E4A" w:rsidRDefault="007E4E4A" w:rsidP="007E4E4A">
      <w:pPr>
        <w:jc w:val="center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  <w:b/>
          <w:bCs/>
          <w:u w:val="single"/>
        </w:rPr>
        <w:t>BANKER’S GUARANTEE</w:t>
      </w:r>
    </w:p>
    <w:p w14:paraId="07DB1A77" w14:textId="77777777" w:rsidR="009028D5" w:rsidRDefault="009028D5" w:rsidP="007E4E4A">
      <w:pPr>
        <w:jc w:val="center"/>
        <w:rPr>
          <w:rFonts w:ascii="Arial" w:hAnsi="Arial" w:cs="Arial"/>
          <w:b/>
          <w:bCs/>
          <w:u w:val="single"/>
        </w:rPr>
      </w:pPr>
    </w:p>
    <w:p w14:paraId="09B7D0D1" w14:textId="7F2D4075" w:rsidR="007E4E4A" w:rsidRPr="001C2EF8" w:rsidRDefault="007E4E4A" w:rsidP="007E4E4A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 xml:space="preserve">As requested by …………………………………… of ............................................ (“the Licensee”), we hereby guarantee that the maximum aggregate sum of RM…………..…… being </w:t>
      </w:r>
      <w:r>
        <w:rPr>
          <w:rFonts w:ascii="Arial" w:hAnsi="Arial" w:cs="Arial"/>
        </w:rPr>
        <w:t>amount</w:t>
      </w:r>
      <w:r w:rsidRPr="001C2EF8">
        <w:rPr>
          <w:rFonts w:ascii="Arial" w:hAnsi="Arial" w:cs="Arial"/>
        </w:rPr>
        <w:t xml:space="preserve"> of the earnest money required to be deposited with the Controller of Housing which is in accordance to the provision of Section *6(1)(a) or 6(1)(b) of the Housing Development (Control &amp; Licensing) 1966 Act 118 (“Act”) (which includes any amendment, consolidation or re-enactment thereof from time to time) as a guarantee for the due performance of the Licensee’s obligations under the Act made there under.</w:t>
      </w:r>
    </w:p>
    <w:p w14:paraId="6BD298EC" w14:textId="77777777" w:rsidR="007E4E4A" w:rsidRPr="001C2EF8" w:rsidRDefault="007E4E4A" w:rsidP="007E4E4A">
      <w:pPr>
        <w:pStyle w:val="ListParagraph"/>
        <w:ind w:left="567"/>
        <w:jc w:val="both"/>
        <w:rPr>
          <w:rFonts w:ascii="Arial" w:hAnsi="Arial" w:cs="Arial"/>
          <w:b/>
          <w:bCs/>
          <w:u w:val="single"/>
        </w:rPr>
      </w:pPr>
    </w:p>
    <w:p w14:paraId="09417C04" w14:textId="77777777" w:rsidR="007E4E4A" w:rsidRPr="001C2EF8" w:rsidRDefault="007E4E4A" w:rsidP="007E4E4A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The sum of RM………………. shall become payable by us within fourteen (14)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Banking Days upon receipt of demand in writing from the Controller of Housing or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Deputy Controller of Housing, stating that the demand is made pursuant to Section 6B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of the Act 118 together with this original guarantee at the address stated in clause 4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herein or any other registered address as communicated by us notwithstanding any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protest or contestation by the Licensee or any third party and without proof or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condition. For the avoidance of any doubt, ‘Banking Days’ refers to the days on which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the Bank is open for business, excluding Saturday, Sunday and public holidays in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Wilayah Persekutuan, Malaysia.</w:t>
      </w:r>
    </w:p>
    <w:p w14:paraId="303F56AF" w14:textId="77777777" w:rsidR="007E4E4A" w:rsidRPr="001C2EF8" w:rsidRDefault="007E4E4A" w:rsidP="007E4E4A">
      <w:pPr>
        <w:pStyle w:val="ListParagraph"/>
        <w:rPr>
          <w:rFonts w:ascii="Arial" w:hAnsi="Arial" w:cs="Arial"/>
        </w:rPr>
      </w:pPr>
    </w:p>
    <w:p w14:paraId="08ED3804" w14:textId="77777777" w:rsidR="007E4E4A" w:rsidRPr="001C2EF8" w:rsidRDefault="007E4E4A" w:rsidP="007E4E4A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This guarantee is effective from………to… (“Validity Period”) i.e. from the date of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the issuance of the notice to open HDA account for the purpose of issuing license to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the Licensee under the Housing Development (Control &amp; Licensing) 1966 Act 118 until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expiry of the Defect Liability Period</w:t>
      </w:r>
      <w:r w:rsidRPr="001C2E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pursuant to Section 6A of Act 118,</w:t>
      </w:r>
      <w:r w:rsidRPr="001C2EF8">
        <w:rPr>
          <w:rFonts w:ascii="Arial" w:hAnsi="Arial" w:cs="Arial"/>
        </w:rPr>
        <w:t xml:space="preserve"> during which, we shall not be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discharged or released by any arrangement between us and the Licensee without the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consent of the Controller of Housing or Deputy Controller of Housing. Upon the expiry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of the Validity Period, this Guarantee is automatically cancelled and shall cease to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have any effect and be considered null and void whereupon we shall be discharged of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all and any liabilities and obligations under this Guarantee notwithstanding that it is not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returned to us for cancellation.</w:t>
      </w:r>
    </w:p>
    <w:p w14:paraId="0F8AAD06" w14:textId="77777777" w:rsidR="007E4E4A" w:rsidRPr="001C2EF8" w:rsidRDefault="007E4E4A" w:rsidP="007E4E4A">
      <w:pPr>
        <w:pStyle w:val="ListParagraph"/>
        <w:rPr>
          <w:rFonts w:ascii="Arial" w:hAnsi="Arial" w:cs="Arial"/>
        </w:rPr>
      </w:pPr>
    </w:p>
    <w:p w14:paraId="561C822A" w14:textId="5D81FA52" w:rsidR="007E4E4A" w:rsidRPr="001C2EF8" w:rsidRDefault="007E4E4A" w:rsidP="007E4E4A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claims</w:t>
      </w:r>
      <w:r w:rsidRPr="001C2EF8">
        <w:rPr>
          <w:rFonts w:ascii="Arial" w:hAnsi="Arial" w:cs="Arial"/>
        </w:rPr>
        <w:t>, pursuant to Section 6B of Act 118, if any, must be made in writing,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delivered by hand or by registered post and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received by us on or before the expiry of the Validity Period if not earlier, after which this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 xml:space="preserve">Guarantee shall automatically be cancelled and shall </w:t>
      </w:r>
      <w:r w:rsidRPr="001C2EF8">
        <w:rPr>
          <w:rFonts w:ascii="Arial" w:hAnsi="Arial" w:cs="Arial"/>
        </w:rPr>
        <w:lastRenderedPageBreak/>
        <w:t>be of no further effect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notwithstanding that the original Guarantee is not returned to us for cancellation.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Nevertheless, the return of the original Guarantee together with a letter of discharge by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the Controller of Housing or Deputy Controller of Housing prior to the expiry of the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Validity Period shall be deemed to be sufficient notice that we are discharged from all of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our liabilities under this Guarantee.</w:t>
      </w:r>
    </w:p>
    <w:p w14:paraId="1EBA6DEF" w14:textId="77777777" w:rsidR="007E4E4A" w:rsidRPr="001C2EF8" w:rsidRDefault="007E4E4A" w:rsidP="007E4E4A">
      <w:pPr>
        <w:pStyle w:val="ListParagraph"/>
        <w:rPr>
          <w:rFonts w:ascii="Arial" w:hAnsi="Arial" w:cs="Arial"/>
        </w:rPr>
      </w:pPr>
    </w:p>
    <w:p w14:paraId="71183A25" w14:textId="77777777" w:rsidR="007E4E4A" w:rsidRPr="001C2EF8" w:rsidRDefault="007E4E4A" w:rsidP="007E4E4A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Any failure by the Controller of Housing or Deputy Controller of Housing to demand for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payment under this Guarantee within the period stipulated in preceding paragraph of this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Guarantee and in accordance with the terms of this Guarantee, shall discharge us of all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obligations and liabilities under this Guarantee without the need for any notice by us to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the Controller of Housing or Deputy Controller of Housing and shall be deemed a failure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by the Controller of Housing or Deputy Controller of Housing to comply with its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obligations under this guarantee or in law, and / or as an act / omission on the part of the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Controller of Housing or Deputy Controller of Housing which impairs and is inconsistent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with our rights and remedies.</w:t>
      </w:r>
    </w:p>
    <w:p w14:paraId="497B92DB" w14:textId="77777777" w:rsidR="007E4E4A" w:rsidRPr="001C2EF8" w:rsidRDefault="007E4E4A" w:rsidP="007E4E4A">
      <w:pPr>
        <w:pStyle w:val="ListParagraph"/>
        <w:rPr>
          <w:rFonts w:ascii="Arial" w:hAnsi="Arial" w:cs="Arial"/>
        </w:rPr>
      </w:pPr>
    </w:p>
    <w:p w14:paraId="24BDA750" w14:textId="77777777" w:rsidR="007E4E4A" w:rsidRPr="001C2EF8" w:rsidRDefault="007E4E4A" w:rsidP="007E4E4A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This Guarantee shall only be assigned, transferred, or purport to assign or transfer upon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obtaining our written consent and the consent of Controller of Housing or Deputy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Controller of Housing.</w:t>
      </w:r>
    </w:p>
    <w:p w14:paraId="1AC8740B" w14:textId="77777777" w:rsidR="007E4E4A" w:rsidRPr="001C2EF8" w:rsidRDefault="007E4E4A" w:rsidP="007E4E4A">
      <w:pPr>
        <w:pStyle w:val="ListParagraph"/>
        <w:rPr>
          <w:rFonts w:ascii="Arial" w:hAnsi="Arial" w:cs="Arial"/>
        </w:rPr>
      </w:pPr>
    </w:p>
    <w:p w14:paraId="17188485" w14:textId="77777777" w:rsidR="007E4E4A" w:rsidRPr="001C2EF8" w:rsidRDefault="007E4E4A" w:rsidP="007E4E4A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This Guarantee shall be governed by and construed in accordance with the Laws of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Malaysia and the parties hereby submit to the exclusive jurisdiction of the courts of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Malaysia over any claims arising out of this Guarantee.</w:t>
      </w:r>
    </w:p>
    <w:p w14:paraId="22A09079" w14:textId="77777777" w:rsidR="007E4E4A" w:rsidRDefault="007E4E4A" w:rsidP="007E4E4A">
      <w:pPr>
        <w:rPr>
          <w:rFonts w:ascii="Arial" w:hAnsi="Arial" w:cs="Arial"/>
        </w:rPr>
      </w:pPr>
    </w:p>
    <w:p w14:paraId="04D3479B" w14:textId="77777777" w:rsidR="007E4E4A" w:rsidRPr="001C2EF8" w:rsidRDefault="007E4E4A" w:rsidP="007E4E4A">
      <w:pPr>
        <w:rPr>
          <w:rFonts w:ascii="Arial" w:hAnsi="Arial" w:cs="Arial"/>
        </w:rPr>
      </w:pPr>
      <w:r w:rsidRPr="001C2EF8">
        <w:rPr>
          <w:rFonts w:ascii="Arial" w:hAnsi="Arial" w:cs="Arial"/>
        </w:rPr>
        <w:t xml:space="preserve">Signed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EF8">
        <w:rPr>
          <w:rFonts w:ascii="Arial" w:hAnsi="Arial" w:cs="Arial"/>
        </w:rPr>
        <w:t>:</w:t>
      </w:r>
    </w:p>
    <w:p w14:paraId="386EAA06" w14:textId="77777777" w:rsidR="007E4E4A" w:rsidRPr="001C2EF8" w:rsidRDefault="007E4E4A" w:rsidP="007E4E4A">
      <w:pPr>
        <w:rPr>
          <w:rFonts w:ascii="Arial" w:hAnsi="Arial" w:cs="Arial"/>
        </w:rPr>
      </w:pPr>
      <w:r w:rsidRPr="001C2EF8">
        <w:rPr>
          <w:rFonts w:ascii="Arial" w:hAnsi="Arial" w:cs="Arial"/>
        </w:rPr>
        <w:t xml:space="preserve">For and on behalf of </w:t>
      </w:r>
      <w:r>
        <w:rPr>
          <w:rFonts w:ascii="Arial" w:hAnsi="Arial" w:cs="Arial"/>
        </w:rPr>
        <w:tab/>
      </w:r>
      <w:r w:rsidRPr="001C2EF8">
        <w:rPr>
          <w:rFonts w:ascii="Arial" w:hAnsi="Arial" w:cs="Arial"/>
        </w:rPr>
        <w:t>:</w:t>
      </w:r>
    </w:p>
    <w:p w14:paraId="087D822C" w14:textId="77777777" w:rsidR="007E4E4A" w:rsidRPr="001C2EF8" w:rsidRDefault="007E4E4A" w:rsidP="007E4E4A">
      <w:pPr>
        <w:rPr>
          <w:rFonts w:ascii="Arial" w:hAnsi="Arial" w:cs="Arial"/>
        </w:rPr>
      </w:pPr>
      <w:r w:rsidRPr="001C2EF8">
        <w:rPr>
          <w:rFonts w:ascii="Arial" w:hAnsi="Arial" w:cs="Arial"/>
        </w:rPr>
        <w:t xml:space="preserve">Name of Bank </w:t>
      </w:r>
      <w:r>
        <w:rPr>
          <w:rFonts w:ascii="Arial" w:hAnsi="Arial" w:cs="Arial"/>
        </w:rPr>
        <w:tab/>
      </w:r>
      <w:r w:rsidRPr="001C2EF8">
        <w:rPr>
          <w:rFonts w:ascii="Arial" w:hAnsi="Arial" w:cs="Arial"/>
        </w:rPr>
        <w:t>:</w:t>
      </w:r>
    </w:p>
    <w:p w14:paraId="51F78B3B" w14:textId="77777777" w:rsidR="007E4E4A" w:rsidRPr="001C2EF8" w:rsidRDefault="007E4E4A" w:rsidP="007E4E4A">
      <w:pPr>
        <w:rPr>
          <w:rFonts w:ascii="Arial" w:hAnsi="Arial" w:cs="Arial"/>
        </w:rPr>
      </w:pPr>
      <w:r w:rsidRPr="001C2EF8"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EF8">
        <w:rPr>
          <w:rFonts w:ascii="Arial" w:hAnsi="Arial" w:cs="Arial"/>
        </w:rPr>
        <w:t>:</w:t>
      </w:r>
    </w:p>
    <w:p w14:paraId="20A52795" w14:textId="77777777" w:rsidR="007E4E4A" w:rsidRDefault="007E4E4A" w:rsidP="007E4E4A">
      <w:pPr>
        <w:rPr>
          <w:rFonts w:ascii="Arial" w:hAnsi="Arial" w:cs="Arial"/>
        </w:rPr>
      </w:pPr>
      <w:r w:rsidRPr="001C2EF8">
        <w:rPr>
          <w:rFonts w:ascii="Arial" w:hAnsi="Arial" w:cs="Arial"/>
        </w:rPr>
        <w:t>Bank’s stamp</w:t>
      </w:r>
    </w:p>
    <w:p w14:paraId="7AEC4E1A" w14:textId="77777777" w:rsidR="007E4E4A" w:rsidRDefault="007E4E4A" w:rsidP="007E4E4A">
      <w:pPr>
        <w:rPr>
          <w:rFonts w:ascii="Arial" w:hAnsi="Arial" w:cs="Arial"/>
        </w:rPr>
      </w:pPr>
    </w:p>
    <w:p w14:paraId="567D2684" w14:textId="77777777" w:rsidR="007E4E4A" w:rsidRDefault="007E4E4A" w:rsidP="007E4E4A">
      <w:pPr>
        <w:rPr>
          <w:rFonts w:ascii="Arial" w:hAnsi="Arial" w:cs="Arial"/>
        </w:rPr>
      </w:pPr>
    </w:p>
    <w:p w14:paraId="1A3B8586" w14:textId="77777777" w:rsidR="007E4E4A" w:rsidRDefault="007E4E4A" w:rsidP="007E4E4A">
      <w:pPr>
        <w:rPr>
          <w:rFonts w:ascii="Arial" w:hAnsi="Arial" w:cs="Arial"/>
        </w:rPr>
      </w:pPr>
    </w:p>
    <w:p w14:paraId="787E2AE9" w14:textId="77777777" w:rsidR="007E4E4A" w:rsidRDefault="007E4E4A" w:rsidP="007E4E4A">
      <w:pPr>
        <w:rPr>
          <w:rFonts w:ascii="Arial" w:hAnsi="Arial" w:cs="Arial"/>
        </w:rPr>
      </w:pPr>
    </w:p>
    <w:p w14:paraId="1B41268E" w14:textId="77777777" w:rsidR="007E4E4A" w:rsidRPr="001C2EF8" w:rsidRDefault="007E4E4A" w:rsidP="007E4E4A">
      <w:pPr>
        <w:rPr>
          <w:rFonts w:ascii="Arial" w:hAnsi="Arial" w:cs="Arial"/>
        </w:rPr>
      </w:pPr>
    </w:p>
    <w:p w14:paraId="2D70DD72" w14:textId="77777777" w:rsidR="007E4E4A" w:rsidRDefault="007E4E4A" w:rsidP="007E4E4A">
      <w:pPr>
        <w:rPr>
          <w:rFonts w:ascii="Arial" w:hAnsi="Arial" w:cs="Arial"/>
          <w:i/>
          <w:iCs/>
          <w:sz w:val="18"/>
          <w:szCs w:val="18"/>
        </w:rPr>
      </w:pPr>
      <w:r w:rsidRPr="001C2EF8">
        <w:rPr>
          <w:rFonts w:ascii="Arial" w:hAnsi="Arial" w:cs="Arial"/>
          <w:i/>
          <w:iCs/>
          <w:sz w:val="18"/>
          <w:szCs w:val="18"/>
        </w:rPr>
        <w:t>* 6(1)(a) a company &amp; 6(1)(b) a person or body of person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5DEC194E" w14:textId="77777777" w:rsidR="007E4E4A" w:rsidRDefault="007E4E4A" w:rsidP="007E4E4A">
      <w:pPr>
        <w:rPr>
          <w:rFonts w:ascii="Arial" w:hAnsi="Arial" w:cs="Arial"/>
          <w:i/>
          <w:iCs/>
          <w:sz w:val="18"/>
          <w:szCs w:val="18"/>
        </w:rPr>
      </w:pPr>
    </w:p>
    <w:p w14:paraId="16A82B75" w14:textId="77777777" w:rsidR="007E4E4A" w:rsidRDefault="007E4E4A"/>
    <w:sectPr w:rsidR="007E4E4A" w:rsidSect="00DE24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616AF" w14:textId="77777777" w:rsidR="00913F1D" w:rsidRDefault="00913F1D" w:rsidP="00151596">
      <w:pPr>
        <w:spacing w:after="0" w:line="240" w:lineRule="auto"/>
      </w:pPr>
      <w:r>
        <w:separator/>
      </w:r>
    </w:p>
  </w:endnote>
  <w:endnote w:type="continuationSeparator" w:id="0">
    <w:p w14:paraId="6EFB0555" w14:textId="77777777" w:rsidR="00913F1D" w:rsidRDefault="00913F1D" w:rsidP="0015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31DA8" w14:textId="77777777" w:rsidR="00913F1D" w:rsidRDefault="00913F1D" w:rsidP="00151596">
      <w:pPr>
        <w:spacing w:after="0" w:line="240" w:lineRule="auto"/>
      </w:pPr>
      <w:r>
        <w:separator/>
      </w:r>
    </w:p>
  </w:footnote>
  <w:footnote w:type="continuationSeparator" w:id="0">
    <w:p w14:paraId="77677617" w14:textId="77777777" w:rsidR="00913F1D" w:rsidRDefault="00913F1D" w:rsidP="0015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D872" w14:textId="18A83F87" w:rsidR="00151596" w:rsidRPr="00151596" w:rsidRDefault="00151596" w:rsidP="00151596">
    <w:pPr>
      <w:pStyle w:val="Header"/>
      <w:jc w:val="right"/>
      <w:rPr>
        <w:rFonts w:ascii="Arial" w:hAnsi="Arial" w:cs="Arial"/>
        <w:b/>
        <w:bCs/>
        <w:lang w:val="en-US"/>
      </w:rPr>
    </w:pPr>
    <w:r w:rsidRPr="00151596">
      <w:rPr>
        <w:rFonts w:ascii="Arial" w:hAnsi="Arial" w:cs="Arial"/>
        <w:b/>
        <w:bCs/>
        <w:lang w:val="en-US"/>
      </w:rPr>
      <w:t xml:space="preserve">LAMPIRAN </w:t>
    </w:r>
    <w:r w:rsidR="00DE2451">
      <w:rPr>
        <w:rFonts w:ascii="Arial" w:hAnsi="Arial" w:cs="Arial"/>
        <w:b/>
        <w:bCs/>
        <w:lang w:val="en-US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316DB"/>
    <w:multiLevelType w:val="hybridMultilevel"/>
    <w:tmpl w:val="513AB75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8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4A"/>
    <w:rsid w:val="00151596"/>
    <w:rsid w:val="007A019F"/>
    <w:rsid w:val="007E4E4A"/>
    <w:rsid w:val="009028D5"/>
    <w:rsid w:val="00913F1D"/>
    <w:rsid w:val="00992A0F"/>
    <w:rsid w:val="00D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5547"/>
  <w15:chartTrackingRefBased/>
  <w15:docId w15:val="{08172E8B-E518-4CA3-B425-0FBBB5FC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596"/>
  </w:style>
  <w:style w:type="paragraph" w:styleId="Footer">
    <w:name w:val="footer"/>
    <w:basedOn w:val="Normal"/>
    <w:link w:val="FooterChar"/>
    <w:uiPriority w:val="99"/>
    <w:unhideWhenUsed/>
    <w:rsid w:val="00151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4</cp:revision>
  <dcterms:created xsi:type="dcterms:W3CDTF">2023-08-10T01:33:00Z</dcterms:created>
  <dcterms:modified xsi:type="dcterms:W3CDTF">2025-03-04T02:08:00Z</dcterms:modified>
</cp:coreProperties>
</file>